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8613" w:type="dxa"/>
        <w:tblLayout w:type="fixed"/>
        <w:tblLook w:val="04A0" w:firstRow="1" w:lastRow="0" w:firstColumn="1" w:lastColumn="0" w:noHBand="0" w:noVBand="1"/>
      </w:tblPr>
      <w:tblGrid>
        <w:gridCol w:w="8613"/>
      </w:tblGrid>
      <w:tr w:rsidR="0098044C" w14:paraId="683241EE" w14:textId="77777777">
        <w:tc>
          <w:tcPr>
            <w:tcW w:w="8613" w:type="dxa"/>
            <w:tcBorders>
              <w:top w:val="single" w:sz="12" w:space="0" w:color="000000"/>
              <w:left w:val="single" w:sz="12" w:space="0" w:color="000000"/>
              <w:bottom w:val="single" w:sz="12" w:space="0" w:color="000000"/>
              <w:right w:val="single" w:sz="12" w:space="0" w:color="000000"/>
            </w:tcBorders>
            <w:shd w:val="clear" w:color="auto" w:fill="69BE5D"/>
          </w:tcPr>
          <w:p w14:paraId="2602A505" w14:textId="77777777" w:rsidR="0098044C" w:rsidRDefault="00000000">
            <w:pPr>
              <w:spacing w:before="156" w:line="360" w:lineRule="auto"/>
              <w:jc w:val="center"/>
              <w:rPr>
                <w:sz w:val="36"/>
                <w:szCs w:val="36"/>
              </w:rPr>
            </w:pPr>
            <w:r>
              <w:rPr>
                <w:rFonts w:eastAsia="黑体;SimHei"/>
                <w:sz w:val="36"/>
                <w:szCs w:val="36"/>
              </w:rPr>
              <w:t>西南交通大学外国语学院</w:t>
            </w:r>
            <w:r>
              <w:rPr>
                <w:sz w:val="36"/>
                <w:szCs w:val="36"/>
              </w:rPr>
              <w:t xml:space="preserve">  </w:t>
            </w:r>
            <w:r>
              <w:rPr>
                <w:rFonts w:eastAsia="黑体;SimHei"/>
                <w:sz w:val="36"/>
                <w:szCs w:val="36"/>
              </w:rPr>
              <w:t>英语系</w:t>
            </w:r>
          </w:p>
          <w:p w14:paraId="4E818303" w14:textId="77777777" w:rsidR="0098044C" w:rsidRDefault="00000000">
            <w:pPr>
              <w:spacing w:line="360" w:lineRule="auto"/>
              <w:jc w:val="center"/>
            </w:pPr>
            <w:r>
              <w:rPr>
                <w:rFonts w:eastAsia="黑体;SimHei"/>
                <w:sz w:val="36"/>
                <w:szCs w:val="36"/>
              </w:rPr>
              <w:t>2025</w:t>
            </w:r>
            <w:r>
              <w:rPr>
                <w:rFonts w:eastAsia="黑体;SimHei"/>
                <w:sz w:val="36"/>
                <w:szCs w:val="36"/>
              </w:rPr>
              <w:t>－</w:t>
            </w:r>
            <w:r>
              <w:rPr>
                <w:rFonts w:eastAsia="黑体;SimHei"/>
                <w:sz w:val="36"/>
                <w:szCs w:val="36"/>
              </w:rPr>
              <w:t>2026</w:t>
            </w:r>
            <w:r>
              <w:rPr>
                <w:rFonts w:eastAsia="黑体;SimHei"/>
                <w:sz w:val="36"/>
                <w:szCs w:val="36"/>
              </w:rPr>
              <w:t>学年第</w:t>
            </w:r>
            <w:r>
              <w:rPr>
                <w:rFonts w:eastAsia="黑体;SimHei"/>
                <w:sz w:val="36"/>
                <w:szCs w:val="36"/>
              </w:rPr>
              <w:t>(2)</w:t>
            </w:r>
            <w:r>
              <w:rPr>
                <w:rFonts w:eastAsia="黑体;SimHei"/>
                <w:sz w:val="36"/>
                <w:szCs w:val="36"/>
              </w:rPr>
              <w:t>学期</w:t>
            </w:r>
            <w:r>
              <w:rPr>
                <w:b/>
                <w:sz w:val="36"/>
                <w:szCs w:val="36"/>
              </w:rPr>
              <w:t xml:space="preserve">  </w:t>
            </w:r>
            <w:r>
              <w:rPr>
                <w:rFonts w:eastAsia="黑体;SimHei"/>
                <w:b/>
                <w:sz w:val="36"/>
                <w:szCs w:val="36"/>
              </w:rPr>
              <w:t>学期论文</w:t>
            </w:r>
          </w:p>
          <w:p w14:paraId="598BEDE5" w14:textId="2CE49FBA" w:rsidR="0098044C" w:rsidRDefault="00000000" w:rsidP="008617C2">
            <w:pPr>
              <w:spacing w:line="780" w:lineRule="auto"/>
              <w:ind w:firstLine="420"/>
              <w:jc w:val="center"/>
            </w:pPr>
            <w:r>
              <w:rPr>
                <w:rFonts w:eastAsia="黑体;SimHei"/>
                <w:sz w:val="28"/>
                <w:szCs w:val="28"/>
              </w:rPr>
              <w:t>班级</w:t>
            </w:r>
            <w:r>
              <w:rPr>
                <w:sz w:val="28"/>
                <w:szCs w:val="28"/>
              </w:rPr>
              <w:t xml:space="preserve"> </w:t>
            </w:r>
            <w:r>
              <w:rPr>
                <w:kern w:val="0"/>
                <w:sz w:val="28"/>
                <w:szCs w:val="28"/>
              </w:rPr>
              <w:t xml:space="preserve"> </w:t>
            </w:r>
            <w:r>
              <w:rPr>
                <w:sz w:val="28"/>
                <w:szCs w:val="28"/>
              </w:rPr>
              <w:t xml:space="preserve">  </w:t>
            </w:r>
            <w:r>
              <w:rPr>
                <w:rFonts w:eastAsia="黑体;SimHei"/>
                <w:sz w:val="28"/>
                <w:szCs w:val="28"/>
              </w:rPr>
              <w:t>姓名</w:t>
            </w:r>
            <w:r>
              <w:rPr>
                <w:sz w:val="28"/>
                <w:szCs w:val="28"/>
              </w:rPr>
              <w:t xml:space="preserve"> </w:t>
            </w:r>
            <w:r>
              <w:rPr>
                <w:sz w:val="28"/>
                <w:szCs w:val="28"/>
                <w:u w:val="single"/>
              </w:rPr>
              <w:t xml:space="preserve">   </w:t>
            </w:r>
            <w:r>
              <w:rPr>
                <w:rFonts w:eastAsia="黑体;SimHei"/>
                <w:sz w:val="28"/>
                <w:szCs w:val="28"/>
                <w:u w:val="single"/>
              </w:rPr>
              <w:t>王永城</w:t>
            </w:r>
            <w:r>
              <w:rPr>
                <w:sz w:val="28"/>
                <w:szCs w:val="28"/>
                <w:u w:val="single"/>
              </w:rPr>
              <w:t xml:space="preserve">   </w:t>
            </w:r>
            <w:r>
              <w:rPr>
                <w:sz w:val="28"/>
                <w:szCs w:val="28"/>
              </w:rPr>
              <w:t xml:space="preserve">   </w:t>
            </w:r>
            <w:r>
              <w:rPr>
                <w:rFonts w:eastAsia="黑体;SimHei"/>
                <w:sz w:val="28"/>
                <w:szCs w:val="28"/>
              </w:rPr>
              <w:t>学号</w:t>
            </w:r>
          </w:p>
        </w:tc>
      </w:tr>
    </w:tbl>
    <w:p w14:paraId="6B183C32" w14:textId="77777777" w:rsidR="0098044C" w:rsidRDefault="0098044C">
      <w:pPr>
        <w:widowControl/>
      </w:pPr>
    </w:p>
    <w:p w14:paraId="1BCA4A38" w14:textId="77777777" w:rsidR="0098044C" w:rsidRDefault="0098044C">
      <w:pPr>
        <w:widowControl/>
      </w:pPr>
    </w:p>
    <w:p w14:paraId="3A8E0A28" w14:textId="77777777" w:rsidR="0098044C" w:rsidRDefault="00000000">
      <w:pPr>
        <w:widowControl/>
        <w:jc w:val="center"/>
        <w:rPr>
          <w:b/>
          <w:sz w:val="28"/>
          <w:szCs w:val="28"/>
        </w:rPr>
      </w:pPr>
      <w:r>
        <w:rPr>
          <w:b/>
          <w:sz w:val="28"/>
        </w:rPr>
        <w:t>Does AI Equalize Learners or Widen the Gap? A Mechanism-Based Analysis of AI-Assisted Learning</w:t>
      </w:r>
    </w:p>
    <w:p w14:paraId="762862C4" w14:textId="77777777" w:rsidR="0098044C" w:rsidRDefault="0098044C">
      <w:pPr>
        <w:pStyle w:val="a8"/>
        <w:spacing w:before="0" w:after="0"/>
        <w:ind w:right="189"/>
        <w:rPr>
          <w:rFonts w:ascii="Times New Roman" w:eastAsia="黑体;SimHei" w:hAnsi="Times New Roman" w:cs="Times New Roman"/>
          <w:b/>
          <w:sz w:val="28"/>
          <w:szCs w:val="28"/>
        </w:rPr>
      </w:pPr>
    </w:p>
    <w:p w14:paraId="0661E8ED" w14:textId="5CCE576D" w:rsidR="0098044C" w:rsidRDefault="00000000">
      <w:pPr>
        <w:pStyle w:val="a8"/>
        <w:snapToGrid w:val="0"/>
        <w:spacing w:before="0" w:after="0"/>
        <w:ind w:right="189" w:firstLine="570"/>
        <w:jc w:val="both"/>
        <w:rPr>
          <w:rFonts w:ascii="Times New Roman" w:eastAsia="黑体;SimHei" w:hAnsi="Times New Roman" w:cs="Times New Roman"/>
        </w:rPr>
      </w:pPr>
      <w:r>
        <w:rPr>
          <w:rFonts w:ascii="Times New Roman" w:hAnsi="Times New Roman"/>
        </w:rPr>
        <w:t>Abstract: Generative artificial intelligence is often presented as an educational equalizer because it can provide low-cost explanations, feedback and personalized assistance. Yet equal access to a system does not guarantee equal learning outcomes. This paper develops a mechanism-based account of how differences in epistemic agency, system design and institutional capacity may translate equal access into unequal outcomes. Educational experiments show that carefully structured AI tutoring can improve short-term content mastery, while unrestricted assistance may improve immediate performance without producing independent competence. The central scaffolding paradox is that learners need epistemic agency to use AI support well</w:t>
      </w:r>
      <w:r w:rsidR="001D4511" w:rsidRPr="001D4511">
        <w:rPr>
          <w:rFonts w:ascii="Times New Roman" w:hAnsi="Times New Roman"/>
        </w:rPr>
        <w:t>, even though</w:t>
      </w:r>
      <w:r w:rsidR="001D4511">
        <w:rPr>
          <w:rFonts w:ascii="Times New Roman" w:hAnsi="Times New Roman" w:hint="eastAsia"/>
        </w:rPr>
        <w:t xml:space="preserve"> </w:t>
      </w:r>
      <w:r>
        <w:rPr>
          <w:rFonts w:ascii="Times New Roman" w:hAnsi="Times New Roman"/>
        </w:rPr>
        <w:t xml:space="preserve">such support is expected to develop that agency. Diagnostic uncertainty and unequal institutional control further constrain this process. The paper argues that AI should be treated as a </w:t>
      </w:r>
      <w:r w:rsidR="001D4511" w:rsidRPr="001D4511">
        <w:rPr>
          <w:rFonts w:ascii="Times New Roman" w:hAnsi="Times New Roman"/>
        </w:rPr>
        <w:t>constrained</w:t>
      </w:r>
      <w:r w:rsidR="001D4511">
        <w:rPr>
          <w:rFonts w:ascii="Times New Roman" w:hAnsi="Times New Roman" w:hint="eastAsia"/>
        </w:rPr>
        <w:t xml:space="preserve"> </w:t>
      </w:r>
      <w:r>
        <w:rPr>
          <w:rFonts w:ascii="Times New Roman" w:hAnsi="Times New Roman"/>
        </w:rPr>
        <w:t>educational resource whose use must preserve independent judgement and institutional capacity.</w:t>
      </w:r>
    </w:p>
    <w:p w14:paraId="753178FA" w14:textId="77777777" w:rsidR="0098044C" w:rsidRDefault="00000000">
      <w:pPr>
        <w:pStyle w:val="a8"/>
        <w:snapToGrid w:val="0"/>
        <w:spacing w:before="0" w:after="0"/>
        <w:ind w:right="189" w:firstLine="570"/>
        <w:rPr>
          <w:rFonts w:ascii="Times New Roman" w:eastAsia="黑体;SimHei" w:hAnsi="Times New Roman" w:cs="Times New Roman"/>
        </w:rPr>
      </w:pPr>
      <w:r>
        <w:rPr>
          <w:rFonts w:ascii="Times New Roman" w:hAnsi="Times New Roman"/>
        </w:rPr>
        <w:t>Key words: generative AI; educational inequality; epistemic agency; diagnostic uncertainty; institutional capacity</w:t>
      </w:r>
    </w:p>
    <w:p w14:paraId="05FB0775" w14:textId="77777777" w:rsidR="0098044C" w:rsidRDefault="0098044C">
      <w:pPr>
        <w:widowControl/>
        <w:rPr>
          <w:rFonts w:eastAsia="黑体;SimHei"/>
        </w:rPr>
      </w:pPr>
    </w:p>
    <w:p w14:paraId="0A59D7EB" w14:textId="77777777" w:rsidR="0098044C" w:rsidRDefault="00000000">
      <w:pPr>
        <w:keepNext/>
        <w:widowControl/>
        <w:spacing w:before="120"/>
        <w:jc w:val="left"/>
      </w:pPr>
      <w:r>
        <w:rPr>
          <w:b/>
        </w:rPr>
        <w:t>Introduction</w:t>
      </w:r>
    </w:p>
    <w:p w14:paraId="33BCFFA1" w14:textId="77777777" w:rsidR="0098044C" w:rsidRDefault="00000000">
      <w:pPr>
        <w:widowControl/>
        <w:ind w:firstLine="420"/>
      </w:pPr>
      <w:r>
        <w:t>Generative artificial intelligence has entered education with a powerful promise. A student who cannot afford private tutoring can now request an explanation, example or revision at any time. A learner who is reluctant to ask a question publicly can seek help in private, while a student who needs more time can ask for the same concept to be explained repeatedly. In this sense, generative AI appears capable of distributing forms of individualized support that have traditionally been scarce and expensive.</w:t>
      </w:r>
    </w:p>
    <w:p w14:paraId="74A7923C" w14:textId="77777777" w:rsidR="0098044C" w:rsidRDefault="00000000">
      <w:pPr>
        <w:widowControl/>
        <w:ind w:firstLine="420"/>
      </w:pPr>
      <w:r>
        <w:lastRenderedPageBreak/>
        <w:t xml:space="preserve">Recent experiments justify part of this optimism. In an undergraduate physics course, Kestin </w:t>
      </w:r>
      <w:r>
        <w:rPr>
          <w:i/>
        </w:rPr>
        <w:t>et al.</w:t>
      </w:r>
      <w:r>
        <w:t xml:space="preserve"> (2025) found that students using a carefully designed AI tutor achieved substantially greater short-term learning gains on an immediate post-test in less time than students completing an in-class active-learning lesson. A contrasting experiment in high-school mathematics found that unrestricted GPT-4 access improved practice performance but could reduce later performance after the system was removed; a safeguarded version that supplied structured hints rather than direct solutions greatly reduced this harm (Bastani </w:t>
      </w:r>
      <w:r>
        <w:rPr>
          <w:i/>
        </w:rPr>
        <w:t>et al.</w:t>
      </w:r>
      <w:r>
        <w:t xml:space="preserve"> 2025). Together, these studies show that the design of assistance can change both short-term learning and later independent performance.</w:t>
      </w:r>
    </w:p>
    <w:p w14:paraId="5BA20454" w14:textId="77777777" w:rsidR="0098044C" w:rsidRDefault="00000000">
      <w:pPr>
        <w:widowControl/>
        <w:ind w:firstLine="420"/>
      </w:pPr>
      <w:r>
        <w:t>The usual response is that AI should be treated as a scaffold rather than a substitute: students should receive hints, feedback and temporary support while continuing to perform the essential cognitive work themselves. The principle is useful, but it contains one circular problem and two further constraints. The circular problem is that students need judgement to use AI as a scaffold even though the scaffold is expected to cultivate that judgement. The technical constraint is that current systems can respond to observable performance without validated access to learners' cognitive states. The institutional constraint is that schools may remain responsible for educational outcomes while lacking control over the models, data and commercial updates on which they depend.</w:t>
      </w:r>
    </w:p>
    <w:p w14:paraId="718CE002" w14:textId="77777777" w:rsidR="0098044C" w:rsidRDefault="00000000">
      <w:pPr>
        <w:widowControl/>
        <w:ind w:firstLine="420"/>
      </w:pPr>
      <w:r>
        <w:t>This paper asks how equal access to generative AI may be converted into unequal outcomes through learner agency, technical design and institutional capacity. It argues that AI can reduce inequalities in access to explanation but cannot independently equalize durable learning or epistemic agency. The central scaffolding paradox concerns the circular dependence on prior judgement; diagnostic uncertainty and unequal governance capacity further limit equitable scaffolding. Generative AI should therefore be treated not as an autonomous tutor but as a constrained educational resource.</w:t>
      </w:r>
    </w:p>
    <w:p w14:paraId="447A903B" w14:textId="77777777" w:rsidR="0098044C" w:rsidRDefault="00000000">
      <w:pPr>
        <w:keepNext/>
        <w:spacing w:before="120"/>
        <w:jc w:val="left"/>
      </w:pPr>
      <w:r>
        <w:rPr>
          <w:b/>
        </w:rPr>
        <w:t>1. Literature Review</w:t>
      </w:r>
    </w:p>
    <w:p w14:paraId="2CFC09AB" w14:textId="77777777" w:rsidR="0098044C" w:rsidRDefault="00000000">
      <w:pPr>
        <w:ind w:firstLine="420"/>
      </w:pPr>
      <w:r>
        <w:t xml:space="preserve">Existing research on generative AI in education can be divided into three related strands. The first examines learning outcomes and instructional design. Kestin </w:t>
      </w:r>
      <w:r>
        <w:rPr>
          <w:i/>
        </w:rPr>
        <w:t>et al.</w:t>
      </w:r>
      <w:r>
        <w:t xml:space="preserve"> (2025) show that a carefully structured AI tutor can improve short-term content mastery, whereas Bastani </w:t>
      </w:r>
      <w:r>
        <w:rPr>
          <w:i/>
        </w:rPr>
        <w:t>et al.</w:t>
      </w:r>
      <w:r>
        <w:t xml:space="preserve"> (2025) find that unrestricted assistance may improve practice performance without supporting later independent competence. OECD (2026) similarly distinguishes educationally designed systems from general-purpose tools </w:t>
      </w:r>
      <w:r>
        <w:lastRenderedPageBreak/>
        <w:t>that may replace rather than support cognitive effort.</w:t>
      </w:r>
    </w:p>
    <w:p w14:paraId="3EFFC743" w14:textId="77777777" w:rsidR="0098044C" w:rsidRDefault="00000000">
      <w:pPr>
        <w:ind w:firstLine="420"/>
      </w:pPr>
      <w:r>
        <w:t xml:space="preserve">The second strand concerns learner capacities. Research on human agency and self-regulated learning emphasizes intentionality, monitoring and reflection (Bandura 2001; Zimmerman 2002), while work on cognitive offloading explains how external tools can reduce mental demands without necessarily producing learning (Risko &amp; Gilbert 2016). Kalyuga </w:t>
      </w:r>
      <w:r>
        <w:rPr>
          <w:i/>
        </w:rPr>
        <w:t>et al.</w:t>
      </w:r>
      <w:r>
        <w:t xml:space="preserve"> (2003) further show that the value of guidance varies with prior knowledge. Nieminen &amp; Ketonen (2024) extend this discussion through epistemic agency, understood as learners' capacity to evaluate, produce, use and transform knowledge responsibly.</w:t>
      </w:r>
    </w:p>
    <w:p w14:paraId="758C25BC" w14:textId="77777777" w:rsidR="0098044C" w:rsidRDefault="00000000">
      <w:pPr>
        <w:ind w:firstLine="420"/>
      </w:pPr>
      <w:r>
        <w:t>The third strand examines equity, risk and institutional governance. UNESCO and OECD identify access, bias, teacher preparation and infrastructure as major equity concerns (Miao, Shiohira &amp; Lao 2024; Varsik &amp; Vosberg 2024). The National Institute of Standards and Technology (2024), hereafter NIST, catalogues risks such as confabulation, homogenization and over-reliance, while the OECD (2025) and the Competition and Markets Authority (2024) address public-sector capability, vendor dependence and market concentration. These strands are often considered separately. This paper connects them by examining how learner agency, technical design and institutional capacity jointly shape whether equal access to AI produces equal learning.</w:t>
      </w:r>
    </w:p>
    <w:p w14:paraId="1C9099AE" w14:textId="77777777" w:rsidR="0098044C" w:rsidRDefault="00000000">
      <w:pPr>
        <w:keepNext/>
        <w:spacing w:before="120"/>
        <w:jc w:val="left"/>
      </w:pPr>
      <w:r>
        <w:rPr>
          <w:b/>
        </w:rPr>
        <w:t>2. Scope and Method</w:t>
      </w:r>
    </w:p>
    <w:p w14:paraId="72646FC4" w14:textId="77777777" w:rsidR="0098044C" w:rsidRDefault="00000000">
      <w:pPr>
        <w:ind w:firstLine="420"/>
      </w:pPr>
      <w:r>
        <w:t>This paper offers a conceptual, mechanism-based analysis rather than a systematic review. It purposively draws on four kinds of sources: controlled studies of AI-assisted learning; theories of cognitive offloading, self-regulation and epistemic agency; official AI competency and risk frameworks; and public-sector reports on procurement, market concentration and vendor dependence. Experiments establish effects under specific conditions, theoretical literature clarifies possible mechanisms, and official reports identify technical and institutional risks. The analysis does not estimate the magnitude of existing group differences; it examines how equal access may yield unequal outcomes. The safeguards proposed later are normative implications of that account.</w:t>
      </w:r>
    </w:p>
    <w:p w14:paraId="5C0B9D9E" w14:textId="77777777" w:rsidR="0098044C" w:rsidRDefault="00000000">
      <w:pPr>
        <w:keepNext/>
        <w:widowControl/>
        <w:spacing w:before="120"/>
        <w:jc w:val="left"/>
      </w:pPr>
      <w:r>
        <w:rPr>
          <w:b/>
        </w:rPr>
        <w:t>3. The Equalizing Promise of Generative AI</w:t>
      </w:r>
    </w:p>
    <w:p w14:paraId="44AA8E97" w14:textId="77777777" w:rsidR="0098044C" w:rsidRDefault="00000000">
      <w:pPr>
        <w:widowControl/>
        <w:ind w:firstLine="420"/>
      </w:pPr>
      <w:r>
        <w:t xml:space="preserve">The strongest case for generative AI begins with access. Traditional one-to-one tutoring is constrained by cost, time and the availability of qualified teachers. A conversational system can respond to many students simultaneously, adjust the length or complexity of an explanation and provide support outside normal classroom hours. UNESCO’s student competency framework accordingly treats learners not merely as </w:t>
      </w:r>
      <w:r>
        <w:lastRenderedPageBreak/>
        <w:t>users of AI but as potential responsible users and co-creators who should develop a human-</w:t>
      </w:r>
      <w:proofErr w:type="spellStart"/>
      <w:r>
        <w:t>centred</w:t>
      </w:r>
      <w:proofErr w:type="spellEnd"/>
      <w:r>
        <w:t xml:space="preserve"> understanding of the technology (Miao, </w:t>
      </w:r>
      <w:proofErr w:type="spellStart"/>
      <w:r>
        <w:t>Shiohira</w:t>
      </w:r>
      <w:proofErr w:type="spellEnd"/>
      <w:r>
        <w:t xml:space="preserve"> &amp; Lao 2024). Properly designed systems could make individualized academic support available to learners who previously had little access to it.</w:t>
      </w:r>
    </w:p>
    <w:p w14:paraId="5E2D08AD" w14:textId="77777777" w:rsidR="0098044C" w:rsidRDefault="00000000">
      <w:pPr>
        <w:widowControl/>
        <w:ind w:firstLine="420"/>
      </w:pPr>
      <w:r>
        <w:t xml:space="preserve">Kestin </w:t>
      </w:r>
      <w:r>
        <w:rPr>
          <w:i/>
        </w:rPr>
        <w:t>et al.</w:t>
      </w:r>
      <w:r>
        <w:t xml:space="preserve"> (2025) demonstrate that this promise is not purely speculative. Their AI tutor guided students through a predetermined sequence, managed cognitive load, encouraged active participation and used detailed course solutions to reduce hallucinations. Students could move at different speeds and obtain feedback on demand. The results demonstrate short-term gains in content mastery rather than merely improvements in the surface quality of students' outputs. Because the study used an immediate post-test, it cannot establish durable retention or long-term transfer.</w:t>
      </w:r>
    </w:p>
    <w:p w14:paraId="00B2BC2E" w14:textId="77777777" w:rsidR="0098044C" w:rsidRDefault="00000000">
      <w:pPr>
        <w:widowControl/>
        <w:ind w:firstLine="420"/>
      </w:pPr>
      <w:r>
        <w:t xml:space="preserve">Yet the same experiment also establishes an important boundary. The successful tutor was not a general-purpose chatbot placed in front of students without preparation. The researchers engineered prompts, supplied accurate instructional content and created a platform that controlled the order in which students encountered the material. They even found that system prompts alone could not reliably provide sufficient structure for multi-part problems (Kestin </w:t>
      </w:r>
      <w:r>
        <w:rPr>
          <w:i/>
        </w:rPr>
        <w:t>et al.</w:t>
      </w:r>
      <w:r>
        <w:t xml:space="preserve"> 2025). The experiment proves that AI tutoring can work under carefully designed conditions; it does not prove that those conditions will automatically appear wherever students have access to a chatbot.</w:t>
      </w:r>
    </w:p>
    <w:p w14:paraId="63E9D054" w14:textId="77777777" w:rsidR="0098044C" w:rsidRDefault="00000000">
      <w:pPr>
        <w:widowControl/>
        <w:ind w:firstLine="420"/>
      </w:pPr>
      <w:r>
        <w:t xml:space="preserve">This distinction is central to educational equality. A technology may be widely accessible while the knowledge, infrastructure and human support needed to use it well remain scarce. </w:t>
      </w:r>
      <w:proofErr w:type="spellStart"/>
      <w:r>
        <w:t>Varsik</w:t>
      </w:r>
      <w:proofErr w:type="spellEnd"/>
      <w:r>
        <w:t xml:space="preserve"> &amp; Vosberg (2024) identify access, inherent bias and teacher training as major equity concerns in educational AI. The OECD (2026) likewise distinguishes general-purpose systems from educational AI grounded in learning science and calls for curriculum-aligned tools, professional learning and equitable infrastructure. AI may therefore reduce the cost of receiving an answer without equally distributing the conditions through which an answer becomes knowledge.</w:t>
      </w:r>
    </w:p>
    <w:p w14:paraId="1BEA1962" w14:textId="77777777" w:rsidR="0098044C" w:rsidRDefault="00000000">
      <w:pPr>
        <w:keepNext/>
        <w:widowControl/>
        <w:spacing w:before="120"/>
        <w:jc w:val="left"/>
      </w:pPr>
      <w:r>
        <w:rPr>
          <w:b/>
        </w:rPr>
        <w:t>4. Better Performance without Better Learning</w:t>
      </w:r>
    </w:p>
    <w:p w14:paraId="7EDC94FF" w14:textId="77777777" w:rsidR="0098044C" w:rsidRDefault="00000000">
      <w:pPr>
        <w:widowControl/>
        <w:ind w:firstLine="420"/>
      </w:pPr>
      <w:r>
        <w:t>Evaluating AI requires a clear distinction between assisted performance and learning. Performance is success on a task under particular conditions, including the use of external support. Learning is a durable change in knowledge or skill that can be retained and transferred to unfamiliar situations. If a student produces a correct solution only while AI is present, the tool has improved the immediate result, but it has not necessarily strengthened the student’s independent competence.</w:t>
      </w:r>
    </w:p>
    <w:p w14:paraId="6F4CF704" w14:textId="77777777" w:rsidR="0098044C" w:rsidRDefault="00000000">
      <w:pPr>
        <w:widowControl/>
        <w:ind w:firstLine="420"/>
      </w:pPr>
      <w:r>
        <w:lastRenderedPageBreak/>
        <w:t xml:space="preserve">Bastani </w:t>
      </w:r>
      <w:r>
        <w:rPr>
          <w:i/>
        </w:rPr>
        <w:t>et al.</w:t>
      </w:r>
      <w:r>
        <w:t xml:space="preserve"> (2025) provide the clearest evidence of this separation. Students with unrestricted GPT-4 performed better during assisted mathematics practice, yet their advantage disappeared and, in one condition, reversed when AI was removed. Students using the safeguarded tutor also improved during practice, but the system was designed to provide teacher-created hints and reduce direct answer-giving. The contrast suggests that the educational consequence of AI depends less on whether it reduces difficulty than on which difficulty it removes. Assistance that makes a productive step possible can support learning; assistance that performs the step may eliminate the practice through which ability develops.</w:t>
      </w:r>
    </w:p>
    <w:p w14:paraId="76AD425F" w14:textId="77777777" w:rsidR="0098044C" w:rsidRDefault="00000000">
      <w:pPr>
        <w:widowControl/>
        <w:ind w:firstLine="420"/>
      </w:pPr>
      <w:r>
        <w:t>Risko &amp; Gilbert (2016) describe cognitive offloading as the use of external actions or tools to reduce mental demands. Offloading is not inherently undesirable. Notes, dictionaries and calculators can release attention for more complex tasks. The relevant question is whether the outsourced process is merely instrumental or is itself the target of learning. Asking AI to generate alternative examples may enrich conceptual understanding. Asking it to construct the argument, select the evidence and decide the conclusion may outsource precisely the judgement that an academic task is intended to cultivate.</w:t>
      </w:r>
    </w:p>
    <w:p w14:paraId="6FD82255" w14:textId="77777777" w:rsidR="0098044C" w:rsidRDefault="00000000">
      <w:pPr>
        <w:widowControl/>
        <w:ind w:firstLine="420"/>
      </w:pPr>
      <w:r>
        <w:t>The danger is intensified by fluency. A coherent explanation is easy to recognize and may create the impression of understanding, but recognition is not reconstruction. Students may follow AI-generated reasoning while it is visible yet be unable to reproduce or adapt it independently. The OECD (2026) consequently warns that general-purpose generative AI can raise task performance without producing learning gains when it replaces cognitive effort. Equal access to polished outputs is not equal access to competence.</w:t>
      </w:r>
    </w:p>
    <w:p w14:paraId="51A9FF67" w14:textId="77777777" w:rsidR="0098044C" w:rsidRDefault="00000000">
      <w:pPr>
        <w:keepNext/>
        <w:widowControl/>
        <w:spacing w:before="120"/>
        <w:jc w:val="left"/>
      </w:pPr>
      <w:r>
        <w:rPr>
          <w:b/>
        </w:rPr>
        <w:t>5. The Scaffolding Paradox and Its Constraints</w:t>
      </w:r>
    </w:p>
    <w:p w14:paraId="01B7FB3F" w14:textId="77777777" w:rsidR="0098044C" w:rsidRDefault="00000000">
      <w:pPr>
        <w:keepNext/>
        <w:widowControl/>
        <w:spacing w:before="60"/>
        <w:jc w:val="left"/>
      </w:pPr>
      <w:r>
        <w:rPr>
          <w:b/>
        </w:rPr>
        <w:t>5.1 The Circularity of Epistemic Agency</w:t>
      </w:r>
    </w:p>
    <w:p w14:paraId="0A2E57C9" w14:textId="77777777" w:rsidR="0098044C" w:rsidRDefault="00000000">
      <w:pPr>
        <w:widowControl/>
        <w:ind w:firstLine="420"/>
      </w:pPr>
      <w:r>
        <w:t>The concept of learner agency is often expressed through goal-setting, self-monitoring and reflection. Bandura (2001) describes agency through intentionality, forethought, self-regulation and self-reflectiveness, while Zimmerman (2002) explains how self-regulated learners plan, monitor and evaluate their learning. These capacities help explain why two students can use the same system differently: one identifies a difficulty and requests targeted feedback, while another treats the assignment itself as a difficulty to be removed.</w:t>
      </w:r>
    </w:p>
    <w:p w14:paraId="2EEA80D5" w14:textId="77777777" w:rsidR="0098044C" w:rsidRDefault="00000000">
      <w:pPr>
        <w:widowControl/>
        <w:ind w:firstLine="420"/>
      </w:pPr>
      <w:r>
        <w:t xml:space="preserve">For generative AI, however, self-regulation is not sufficient. Following Nieminen &amp; Ketonen (2024), this paper understands epistemic agency as the capacity to </w:t>
      </w:r>
      <w:r>
        <w:lastRenderedPageBreak/>
        <w:t>evaluate, produce, use and transform knowledge as a responsible knower. It uses epistemic uptake as a working term for the moment at which a learner decides whether and how an AI-generated claim should enter his or her own reasoning. Such uptake involves examining evidence, identifying assumptions, considering implications and accepting responsibility for the use of the claim. A learner may manage time and complete tasks successfully while gradually surrendering these deeper acts of judgement.</w:t>
      </w:r>
    </w:p>
    <w:p w14:paraId="755D286F" w14:textId="77777777" w:rsidR="0098044C" w:rsidRDefault="00000000">
      <w:pPr>
        <w:widowControl/>
        <w:ind w:firstLine="420"/>
      </w:pPr>
      <w:r>
        <w:t>This produces the scaffolding paradox. To benefit from AI as a scaffold, students need enough epistemic agency to question its answers, request clarification, compare sources and recognize when support should be withdrawn. Yet these are among the capacities that education is supposed to develop. The learners who most need guidance may be least able to judge whether the guidance is reliable. Stronger learners can use AI to test hypotheses or generate counterarguments; weaker learners may accept the first fluent answer because they lack an independent standard against which to evaluate it.</w:t>
      </w:r>
    </w:p>
    <w:p w14:paraId="11E51CB5" w14:textId="77777777" w:rsidR="0098044C" w:rsidRDefault="00000000">
      <w:pPr>
        <w:widowControl/>
        <w:ind w:firstLine="420"/>
      </w:pPr>
      <w:r>
        <w:t>The expertise reversal effect complicates but does not remove the paradox. Detailed guidance can benefit novices even when it becomes redundant for experienced learners (</w:t>
      </w:r>
      <w:proofErr w:type="spellStart"/>
      <w:r>
        <w:t>Kalyuga</w:t>
      </w:r>
      <w:proofErr w:type="spellEnd"/>
      <w:r>
        <w:t xml:space="preserve"> </w:t>
      </w:r>
      <w:r>
        <w:rPr>
          <w:i/>
        </w:rPr>
        <w:t>et al.</w:t>
      </w:r>
      <w:r>
        <w:t xml:space="preserve"> 2003). Yet correct performance after guidance does not show that epistemic responsibility has returned to the learner. A student may acquire a procedure while continuing to defer the choice of questions, evidence and final judgement. Fading support is therefore also a question of whether responsibility for knowing has become the learner's own.</w:t>
      </w:r>
    </w:p>
    <w:p w14:paraId="1D8AF68A" w14:textId="77777777" w:rsidR="0098044C" w:rsidRDefault="00000000">
      <w:pPr>
        <w:keepNext/>
        <w:widowControl/>
        <w:spacing w:before="60"/>
        <w:jc w:val="left"/>
      </w:pPr>
      <w:r>
        <w:rPr>
          <w:b/>
        </w:rPr>
        <w:t>5.2 Technical Constraint: Non-Neutrality and Diagnostic Uncertainty</w:t>
      </w:r>
    </w:p>
    <w:p w14:paraId="7720DB1B" w14:textId="77777777" w:rsidR="0098044C" w:rsidRDefault="00000000">
      <w:pPr>
        <w:widowControl/>
        <w:ind w:firstLine="420"/>
      </w:pPr>
      <w:r>
        <w:t xml:space="preserve">The scaffolding metaphor can mislead in two directions. First, it can treat AI as a passive structure whose effect depends entirely on the user. Generative systems select, organize and phrase information; their responses can influence which distinctions appear important, what alternatives are presented and how uncertainty is expressed. Second, the metaphor can imply that the system reliably recognizes a learner's state. Current systems can generate questions, hints and staged explanations, but these </w:t>
      </w:r>
      <w:proofErr w:type="spellStart"/>
      <w:r>
        <w:t>behaviours</w:t>
      </w:r>
      <w:proofErr w:type="spellEnd"/>
      <w:r>
        <w:t xml:space="preserve"> do not provide validated and reliable access to learners' cognitive states. A model may respond to visible answers and interaction patterns, yet it cannot reliably determine whether a learner has understood, imitated, guessed or submitted text produced elsewhere.</w:t>
      </w:r>
    </w:p>
    <w:p w14:paraId="428285E2" w14:textId="77777777" w:rsidR="0098044C" w:rsidRDefault="00000000">
      <w:pPr>
        <w:widowControl/>
        <w:ind w:firstLine="420"/>
      </w:pPr>
      <w:r>
        <w:t xml:space="preserve">The limits are visible even in successful designs. Kestin </w:t>
      </w:r>
      <w:r>
        <w:rPr>
          <w:i/>
        </w:rPr>
        <w:t>et al.</w:t>
      </w:r>
      <w:r>
        <w:t xml:space="preserve"> (2025) report that prompts alone could not reliably structure multi-part problems, so the researchers </w:t>
      </w:r>
      <w:r>
        <w:lastRenderedPageBreak/>
        <w:t>supplied predetermined sequences and detailed course solutions. This supports external instructional design, not the assumption that the model independently exercises pedagogical judgement. NIST (2024) likewise warns against anthropomorphization and identifies confabulation, information-integrity risks, harmful bias, homogenization and over-reliance as characteristic risks of human-AI interaction.</w:t>
      </w:r>
    </w:p>
    <w:p w14:paraId="2456F84F" w14:textId="77777777" w:rsidR="0098044C" w:rsidRDefault="00000000">
      <w:pPr>
        <w:widowControl/>
        <w:ind w:firstLine="420"/>
      </w:pPr>
      <w:r>
        <w:t>These limits are especially important for novices. A knowledgeable learner may treat an AI response as a provisional object of criticism. A learner without an independent standard may not notice that the response is inaccurate, that a contested issue has been reduced to a convenient binary, or that one interpretation has been presented as neutral and complete. AI therefore affects more than the amount of information available. It can mediate the frameworks through which questions are understood. The inequality at stake is epistemic as well as informational: learners differ in their capacity to resist the authority produced by fluent language.</w:t>
      </w:r>
    </w:p>
    <w:p w14:paraId="3780B3EF" w14:textId="77777777" w:rsidR="0098044C" w:rsidRDefault="00000000">
      <w:pPr>
        <w:keepNext/>
        <w:widowControl/>
        <w:spacing w:before="60"/>
        <w:jc w:val="left"/>
      </w:pPr>
      <w:r>
        <w:rPr>
          <w:b/>
        </w:rPr>
        <w:t>5.3 Institutional Constraint: Unequal Governance Capacity</w:t>
      </w:r>
    </w:p>
    <w:p w14:paraId="5F83AB5E" w14:textId="77777777" w:rsidR="0098044C" w:rsidRDefault="00000000">
      <w:pPr>
        <w:widowControl/>
        <w:ind w:firstLine="420"/>
      </w:pPr>
      <w:r>
        <w:t xml:space="preserve">Effective AI-supported learning may require curated materials, curriculum alignment, teacher training, monitoring and systems that offer hints instead of full answers. Kestin </w:t>
      </w:r>
      <w:r>
        <w:rPr>
          <w:i/>
        </w:rPr>
        <w:t>et al.</w:t>
      </w:r>
      <w:r>
        <w:t xml:space="preserve"> (2025) achieved strong results through this kind of engineering, which requires expertise, time and resources. Well-funded institutions may purchase and evaluate reliable services, while under-resourced institutions may rely on general-purpose systems used outside institutional control. Institutional differences therefore become learning inequalities when they shape the quality, supervision and risks of the AI support students receive.</w:t>
      </w:r>
    </w:p>
    <w:p w14:paraId="5952234B" w14:textId="77777777" w:rsidR="0098044C" w:rsidRDefault="00000000">
      <w:pPr>
        <w:widowControl/>
        <w:ind w:firstLine="420"/>
      </w:pPr>
      <w:r>
        <w:t>The problem extends beyond teachers or devices. Foundation-model markets are concentrated around firms with privileged access to compute, data, expertise and deployment channels. The Competition and Markets Authority (2024: 2, 6, 12-13) warns that a few incumbent firms operate across the value chain and may shape access to critical inputs and downstream markets. Public educational systems therefore do not control many technical conditions on which their AI services depend.</w:t>
      </w:r>
    </w:p>
    <w:p w14:paraId="3F20CE89" w14:textId="77777777" w:rsidR="0098044C" w:rsidRDefault="00000000">
      <w:pPr>
        <w:widowControl/>
        <w:ind w:firstLine="420"/>
      </w:pPr>
      <w:r>
        <w:t xml:space="preserve">This creates an asymmetry between responsibility and power. Schools may be expected to protect data, detect bias and guarantee quality while lacking access to training data, model architecture or update decisions. The OECD (2025) notes low AI maturity in many public procurement bodies and risks of lock-in through proprietary technology, data and formats. The resulting second-order divide separates institutions </w:t>
      </w:r>
      <w:r>
        <w:lastRenderedPageBreak/>
        <w:t>able to audit, negotiate or refuse a provider from those that must accept terms set elsewhere.</w:t>
      </w:r>
    </w:p>
    <w:p w14:paraId="68A032E3" w14:textId="77777777" w:rsidR="0098044C" w:rsidRDefault="00000000">
      <w:pPr>
        <w:keepNext/>
        <w:widowControl/>
        <w:spacing w:before="120"/>
        <w:jc w:val="left"/>
      </w:pPr>
      <w:r>
        <w:rPr>
          <w:b/>
        </w:rPr>
        <w:t>6. Normative Safeguards under Unequal Conditions</w:t>
      </w:r>
    </w:p>
    <w:p w14:paraId="64CD157D" w14:textId="77777777" w:rsidR="0098044C" w:rsidRDefault="00000000">
      <w:pPr>
        <w:widowControl/>
        <w:ind w:firstLine="420"/>
      </w:pPr>
      <w:r>
        <w:t>Building on the risks identified above, this section proposes safeguards intended to preserve human and institutional capacities when AI is absent, wrong or unavailable. They are normative principles rather than a complete governance model.</w:t>
      </w:r>
    </w:p>
    <w:p w14:paraId="2ABE5340" w14:textId="77777777" w:rsidR="0098044C" w:rsidRDefault="00000000">
      <w:pPr>
        <w:keepNext/>
        <w:widowControl/>
        <w:spacing w:before="60"/>
        <w:jc w:val="left"/>
      </w:pPr>
      <w:r>
        <w:rPr>
          <w:b/>
        </w:rPr>
        <w:t>6.1 Distinguishing Competence from Agency</w:t>
      </w:r>
    </w:p>
    <w:p w14:paraId="628C74DF" w14:textId="77777777" w:rsidR="0098044C" w:rsidRDefault="00000000">
      <w:pPr>
        <w:widowControl/>
        <w:ind w:firstLine="420"/>
      </w:pPr>
      <w:r>
        <w:t>Independent competence and epistemic agency must be assessed separately. Short no-AI tasks can indicate whether learners retain and transfer a particular skill after assistance is withdrawn, but they cannot establish whether learners remain responsible agents in the formation of knowledge. A student may solve a familiar problem independently while continuing to defer the framing of unfamiliar questions or the evaluation of contested evidence to an external authority.</w:t>
      </w:r>
    </w:p>
    <w:p w14:paraId="416C78D0" w14:textId="77777777" w:rsidR="0098044C" w:rsidRDefault="00000000">
      <w:pPr>
        <w:widowControl/>
        <w:ind w:firstLine="420"/>
      </w:pPr>
      <w:r>
        <w:t xml:space="preserve">Evidence of epistemic agency should include practices that reveal epistemic uptake: formulating questions, comparing AI output with independent sources, identifying presuppositions and explaining why a claim was accepted, revised or rejected. This does not require reconstructing a model's internal mechanisms; opacity does not erase the distinction between warranted and unwarranted belief. Portfolios, oral </w:t>
      </w:r>
      <w:proofErr w:type="spellStart"/>
      <w:r>
        <w:t>defences</w:t>
      </w:r>
      <w:proofErr w:type="spellEnd"/>
      <w:r>
        <w:t xml:space="preserve"> and decisions across open-ended tasks may reveal these patterns better than a single test, although agency must still be examined across contexts and over time.</w:t>
      </w:r>
    </w:p>
    <w:p w14:paraId="79638951" w14:textId="77777777" w:rsidR="0098044C" w:rsidRDefault="00000000">
      <w:pPr>
        <w:keepNext/>
        <w:widowControl/>
        <w:spacing w:before="60"/>
        <w:jc w:val="left"/>
      </w:pPr>
      <w:r>
        <w:rPr>
          <w:b/>
        </w:rPr>
        <w:t>6.2 Rule-Governed Support under Diagnostic Uncertainty</w:t>
      </w:r>
    </w:p>
    <w:p w14:paraId="7A97ECBF" w14:textId="77777777" w:rsidR="0098044C" w:rsidRDefault="00000000">
      <w:pPr>
        <w:widowControl/>
        <w:ind w:firstLine="420"/>
      </w:pPr>
      <w:r>
        <w:t>Generative AI can still perform limited scaffolding functions without being treated as a human-like tutor. A system may withhold a complete answer, request an independent attempt or require a prediction before offering another hint. Assistance may also be reduced according to predetermined rules based on observable task performance. These mechanisms can preserve productive effort, but they should not be described as evidence that the system understands the learner's cognitive state.</w:t>
      </w:r>
    </w:p>
    <w:p w14:paraId="3162530C" w14:textId="77777777" w:rsidR="0098044C" w:rsidRDefault="00000000">
      <w:pPr>
        <w:widowControl/>
        <w:ind w:firstLine="420"/>
      </w:pPr>
      <w:r>
        <w:t xml:space="preserve">Rule-governed support should therefore have explicit boundaries. Claims of educational effectiveness require pre-deployment testing, documentation of limits and human review where diagnosis has significant consequences (NIST 2024). In foundational skills, periods of AI-free practice may remain necessary because independent performance is the objective itself. Where a learner repeatedly fails or where a task involves ethical conflict, interpretation or high-stakes judgement, </w:t>
      </w:r>
      <w:r>
        <w:lastRenderedPageBreak/>
        <w:t>escalation to a human teacher is more defensible than increasingly confident automated personalization.</w:t>
      </w:r>
    </w:p>
    <w:p w14:paraId="2418D059" w14:textId="77777777" w:rsidR="0098044C" w:rsidRDefault="00000000">
      <w:pPr>
        <w:keepNext/>
        <w:widowControl/>
        <w:spacing w:before="60"/>
        <w:jc w:val="left"/>
      </w:pPr>
      <w:r>
        <w:rPr>
          <w:b/>
        </w:rPr>
        <w:t>6.3 Governance under Infrastructure Dependence</w:t>
      </w:r>
    </w:p>
    <w:p w14:paraId="66FDA9C4" w14:textId="77777777" w:rsidR="0098044C" w:rsidRDefault="00000000">
      <w:pPr>
        <w:widowControl/>
        <w:ind w:firstLine="420"/>
      </w:pPr>
      <w:r>
        <w:t xml:space="preserve">Most educational institutions cannot independently develop frontier models. Building on the OECD's diagnosis of vendor lock-in, this paper proposes partial reversibility: preserving enough control to question, constrain or replace a system without disabling core educational functions. Data portability and switching rights do not guarantee functional equivalence because institution-specific value may be distributed across proprietary model </w:t>
      </w:r>
      <w:proofErr w:type="spellStart"/>
      <w:r>
        <w:t>behaviour</w:t>
      </w:r>
      <w:proofErr w:type="spellEnd"/>
      <w:r>
        <w:t>, retrieval systems, prompts, evaluation records and workflow integration. Institutions should therefore protect portable data, documented configurations, interoperability, independent testing, notice of major model changes and viable non-AI alternatives, while recognizing that lock-in may remain (OECD 2025).</w:t>
      </w:r>
    </w:p>
    <w:p w14:paraId="2C66B053" w14:textId="77777777" w:rsidR="0098044C" w:rsidRDefault="00000000">
      <w:pPr>
        <w:widowControl/>
        <w:ind w:firstLine="420"/>
      </w:pPr>
      <w:r>
        <w:t>Joint procurement may reduce costs and establish common standards, but it can also create large-scale dependence when one platform becomes embedded across curricula and assessment. The OECD (2025) identifies vendor lock-in as a procurement risk, while the Competition and Markets Authority (2024) warns that control over critical inputs and routes to market can reinforce incumbent power. Institutions should therefore avoid attaching indispensable teaching functions to one proprietary model, preserve modular components where feasible and retain non-AI alternatives for core learning and evaluation.</w:t>
      </w:r>
    </w:p>
    <w:p w14:paraId="7A873E1C" w14:textId="77777777" w:rsidR="0098044C" w:rsidRDefault="00000000">
      <w:pPr>
        <w:widowControl/>
        <w:ind w:firstLine="420"/>
      </w:pPr>
      <w:r>
        <w:t>Shared responsibility should not be confused with equal power. Schools retain authority over curricula and assessment but have limited control over model architecture, training data and commercial updates. Procurement standards and independent auditing cannot remove this imbalance, but they can expose dependencies and preserve bargaining capacity. The realistic aim is not costless exit, but enough institutional control to prevent one provider from becoming indispensable.</w:t>
      </w:r>
    </w:p>
    <w:p w14:paraId="3166AFD5" w14:textId="77777777" w:rsidR="0098044C" w:rsidRDefault="00000000">
      <w:pPr>
        <w:keepNext/>
        <w:widowControl/>
        <w:spacing w:before="120"/>
        <w:jc w:val="left"/>
      </w:pPr>
      <w:r>
        <w:rPr>
          <w:b/>
        </w:rPr>
        <w:t>Conclusion</w:t>
      </w:r>
    </w:p>
    <w:p w14:paraId="4B745B5D" w14:textId="77777777" w:rsidR="0098044C" w:rsidRDefault="00000000">
      <w:pPr>
        <w:widowControl/>
        <w:ind w:firstLine="420"/>
      </w:pPr>
      <w:r>
        <w:t>Equal access to generative AI may produce unequal outcomes through three connected mechanisms. AI scaffolding depends on epistemic agency that is itself unevenly developed; current systems face diagnostic uncertainty; and institutions differ in their capacity to govern the infrastructure through which assistance is delivered. Structured tutoring can improve short-term content mastery, while unrestricted assistance can raise supported performance without independent competence.</w:t>
      </w:r>
    </w:p>
    <w:p w14:paraId="49E1E895" w14:textId="77777777" w:rsidR="0098044C" w:rsidRDefault="00000000">
      <w:pPr>
        <w:widowControl/>
        <w:ind w:firstLine="420"/>
      </w:pPr>
      <w:r>
        <w:lastRenderedPageBreak/>
        <w:t xml:space="preserve">AI can perform limited scaffolding functions, but it cannot guarantee that cognitive control returns to the learner. Schools likewise cannot guarantee trustworthy use when they depend on models and </w:t>
      </w:r>
      <w:proofErr w:type="gramStart"/>
      <w:r>
        <w:t>updates</w:t>
      </w:r>
      <w:proofErr w:type="gramEnd"/>
      <w:r>
        <w:t xml:space="preserve"> they cannot fully inspect. Their epistemic authority persists through curricula, assessment and standards of evidence, yet it is increasingly technologically dependent, commercially conditional and politically contested.</w:t>
      </w:r>
    </w:p>
    <w:p w14:paraId="7AA4883F" w14:textId="77777777" w:rsidR="0098044C" w:rsidRDefault="00000000">
      <w:pPr>
        <w:widowControl/>
        <w:ind w:firstLine="420"/>
      </w:pPr>
      <w:r>
        <w:t>The most defensible conclusion is that equal access to AI cannot be assumed to produce equal learning. It may conceal inequalities in who can judge knowledge, obtain reliable support and govern the infrastructures through which learning is mediated. Longitudinal and subgroup research should compare retention, transfer and epistemic agency across learners with different prior knowledge, socioeconomic backgrounds and institutional resources, while testing whether rule-governed support and governance safeguards reduce dependence in practice. Educational policy should treat AI as a constrained and contestable resource, not an autonomous tutor or unavoidable infrastructure.</w:t>
      </w:r>
    </w:p>
    <w:p w14:paraId="150BDD37" w14:textId="77777777" w:rsidR="0098044C" w:rsidRDefault="00000000">
      <w:pPr>
        <w:keepNext/>
        <w:widowControl/>
        <w:spacing w:before="120"/>
        <w:jc w:val="left"/>
      </w:pPr>
      <w:r>
        <w:rPr>
          <w:b/>
        </w:rPr>
        <w:t>References</w:t>
      </w:r>
    </w:p>
    <w:p w14:paraId="033231EB" w14:textId="77777777" w:rsidR="0098044C" w:rsidRDefault="00000000">
      <w:pPr>
        <w:widowControl/>
        <w:ind w:left="420" w:hanging="420"/>
        <w:jc w:val="left"/>
      </w:pPr>
      <w:r>
        <w:t xml:space="preserve">Bandura, A. 2001. Social cognitive theory: An agentic perspective. </w:t>
      </w:r>
      <w:r>
        <w:rPr>
          <w:i/>
        </w:rPr>
        <w:t>Annual Review of Psychology</w:t>
      </w:r>
      <w:r>
        <w:t xml:space="preserve"> 52: 1-26.</w:t>
      </w:r>
    </w:p>
    <w:p w14:paraId="37B1BAEB" w14:textId="77777777" w:rsidR="0098044C" w:rsidRDefault="00000000">
      <w:pPr>
        <w:widowControl/>
        <w:ind w:left="420" w:hanging="420"/>
        <w:jc w:val="left"/>
      </w:pPr>
      <w:r>
        <w:t xml:space="preserve">Bastani, H., Bastani, O., Sungu, A., Ge, H., </w:t>
      </w:r>
      <w:proofErr w:type="spellStart"/>
      <w:r>
        <w:t>Kabakcı</w:t>
      </w:r>
      <w:proofErr w:type="spellEnd"/>
      <w:r>
        <w:t xml:space="preserve">, Ö. &amp; Mariman, R. 2025. Generative AI without guardrails can harm learning: Evidence from high school mathematics. </w:t>
      </w:r>
      <w:r>
        <w:rPr>
          <w:i/>
        </w:rPr>
        <w:t>Proceedings of the National Academy of Sciences</w:t>
      </w:r>
      <w:r>
        <w:t xml:space="preserve"> 122 (26): e2422633122.</w:t>
      </w:r>
    </w:p>
    <w:p w14:paraId="385CAC34" w14:textId="77777777" w:rsidR="0098044C" w:rsidRDefault="00000000">
      <w:pPr>
        <w:widowControl/>
        <w:ind w:left="420" w:hanging="420"/>
        <w:jc w:val="left"/>
      </w:pPr>
      <w:r>
        <w:t xml:space="preserve">Competition and Markets Authority. 2024. </w:t>
      </w:r>
      <w:r>
        <w:rPr>
          <w:i/>
        </w:rPr>
        <w:t>AI Foundation Models: Update Paper</w:t>
      </w:r>
      <w:r>
        <w:t>. London: Competition and Markets Authority.</w:t>
      </w:r>
    </w:p>
    <w:p w14:paraId="564727C6" w14:textId="77777777" w:rsidR="0098044C" w:rsidRDefault="00000000">
      <w:pPr>
        <w:widowControl/>
        <w:ind w:left="420" w:hanging="420"/>
        <w:jc w:val="left"/>
      </w:pPr>
      <w:proofErr w:type="spellStart"/>
      <w:r>
        <w:t>Kalyuga</w:t>
      </w:r>
      <w:proofErr w:type="spellEnd"/>
      <w:r>
        <w:t xml:space="preserve">, S., Ayres, P., Chandler, P. &amp; </w:t>
      </w:r>
      <w:proofErr w:type="spellStart"/>
      <w:r>
        <w:t>Sweller</w:t>
      </w:r>
      <w:proofErr w:type="spellEnd"/>
      <w:r>
        <w:t xml:space="preserve">, J. 2003. The expertise reversal effect. </w:t>
      </w:r>
      <w:r>
        <w:rPr>
          <w:i/>
        </w:rPr>
        <w:t>Educational Psychologist</w:t>
      </w:r>
      <w:r>
        <w:t xml:space="preserve"> 38 (1): 23-31.</w:t>
      </w:r>
    </w:p>
    <w:p w14:paraId="02CDAB74" w14:textId="77777777" w:rsidR="0098044C" w:rsidRDefault="00000000">
      <w:pPr>
        <w:widowControl/>
        <w:ind w:left="420" w:hanging="420"/>
        <w:jc w:val="left"/>
      </w:pPr>
      <w:r>
        <w:t xml:space="preserve">Kestin, G., Miller, K., </w:t>
      </w:r>
      <w:proofErr w:type="spellStart"/>
      <w:r>
        <w:t>Klales</w:t>
      </w:r>
      <w:proofErr w:type="spellEnd"/>
      <w:r>
        <w:t xml:space="preserve">, A., Milbourne, T. &amp; Ponti, G. 2025. AI tutoring outperforms in-class active learning: An RCT introducing a novel research-based design in an authentic educational setting. </w:t>
      </w:r>
      <w:r>
        <w:rPr>
          <w:i/>
        </w:rPr>
        <w:t>Scientific Reports</w:t>
      </w:r>
      <w:r>
        <w:t xml:space="preserve"> 15: 17458.</w:t>
      </w:r>
    </w:p>
    <w:p w14:paraId="2737306C" w14:textId="77777777" w:rsidR="0098044C" w:rsidRDefault="00000000">
      <w:pPr>
        <w:widowControl/>
        <w:ind w:left="420" w:hanging="420"/>
        <w:jc w:val="left"/>
      </w:pPr>
      <w:r>
        <w:t xml:space="preserve">Miao, F., </w:t>
      </w:r>
      <w:proofErr w:type="spellStart"/>
      <w:r>
        <w:t>Shiohira</w:t>
      </w:r>
      <w:proofErr w:type="spellEnd"/>
      <w:r>
        <w:t xml:space="preserve">, K. &amp; Lao, N. 2024. </w:t>
      </w:r>
      <w:r>
        <w:rPr>
          <w:i/>
        </w:rPr>
        <w:t>AI Competency Framework for Students</w:t>
      </w:r>
      <w:r>
        <w:t>. Paris: UNESCO.</w:t>
      </w:r>
    </w:p>
    <w:p w14:paraId="0B496A52" w14:textId="77777777" w:rsidR="0098044C" w:rsidRDefault="00000000">
      <w:pPr>
        <w:widowControl/>
        <w:ind w:left="420" w:hanging="420"/>
        <w:jc w:val="left"/>
      </w:pPr>
      <w:r>
        <w:t xml:space="preserve">National Institute of Standards and Technology. 2024. </w:t>
      </w:r>
      <w:r>
        <w:rPr>
          <w:i/>
        </w:rPr>
        <w:t>Artificial Intelligence Risk Management Framework: Generative Artificial Intelligence Profile (NIST AI 600-1)</w:t>
      </w:r>
      <w:r>
        <w:t>. Gaithersburg, MD: U.S. Department of Commerce.</w:t>
      </w:r>
    </w:p>
    <w:p w14:paraId="1A80700F" w14:textId="77777777" w:rsidR="0098044C" w:rsidRDefault="00000000">
      <w:pPr>
        <w:widowControl/>
        <w:ind w:left="420" w:hanging="420"/>
        <w:jc w:val="left"/>
      </w:pPr>
      <w:r>
        <w:lastRenderedPageBreak/>
        <w:t xml:space="preserve">Nieminen, J. H. &amp; Ketonen, L. 2024. Epistemic agency: A link between assessment, knowledge and society. </w:t>
      </w:r>
      <w:r>
        <w:rPr>
          <w:i/>
        </w:rPr>
        <w:t>Higher Education</w:t>
      </w:r>
      <w:r>
        <w:t xml:space="preserve"> 88 (2): 777-794.</w:t>
      </w:r>
    </w:p>
    <w:p w14:paraId="4C579FA1" w14:textId="77777777" w:rsidR="0098044C" w:rsidRDefault="00000000">
      <w:pPr>
        <w:widowControl/>
        <w:ind w:left="420" w:hanging="420"/>
        <w:jc w:val="left"/>
      </w:pPr>
      <w:r>
        <w:t xml:space="preserve">OECD. 2025. </w:t>
      </w:r>
      <w:r>
        <w:rPr>
          <w:i/>
        </w:rPr>
        <w:t>Governing with Artificial Intelligence</w:t>
      </w:r>
      <w:r>
        <w:t>. Paris: OECD Publishing.</w:t>
      </w:r>
    </w:p>
    <w:p w14:paraId="5893B575" w14:textId="77777777" w:rsidR="0098044C" w:rsidRDefault="00000000">
      <w:pPr>
        <w:widowControl/>
        <w:ind w:left="420" w:hanging="420"/>
        <w:jc w:val="left"/>
      </w:pPr>
      <w:r>
        <w:t xml:space="preserve">OECD. 2026. </w:t>
      </w:r>
      <w:r>
        <w:rPr>
          <w:i/>
        </w:rPr>
        <w:t>OECD Digital Education Outlook 2026: Exploring Effective Uses of Generative AI in Education</w:t>
      </w:r>
      <w:r>
        <w:t>. Paris: OECD Publishing.</w:t>
      </w:r>
    </w:p>
    <w:p w14:paraId="35A53EC5" w14:textId="77777777" w:rsidR="0098044C" w:rsidRDefault="00000000">
      <w:pPr>
        <w:widowControl/>
        <w:ind w:left="420" w:hanging="420"/>
        <w:jc w:val="left"/>
      </w:pPr>
      <w:r>
        <w:t xml:space="preserve">Risko, E. F. &amp; Gilbert, S. J. 2016. Cognitive offloading. </w:t>
      </w:r>
      <w:r>
        <w:rPr>
          <w:i/>
        </w:rPr>
        <w:t>Trends in Cognitive Sciences</w:t>
      </w:r>
      <w:r>
        <w:t xml:space="preserve"> 20 (9): 676-688.</w:t>
      </w:r>
    </w:p>
    <w:p w14:paraId="1F65C94F" w14:textId="77777777" w:rsidR="0098044C" w:rsidRDefault="00000000">
      <w:pPr>
        <w:widowControl/>
        <w:ind w:left="420" w:hanging="420"/>
        <w:jc w:val="left"/>
      </w:pPr>
      <w:proofErr w:type="spellStart"/>
      <w:r>
        <w:t>Varsik</w:t>
      </w:r>
      <w:proofErr w:type="spellEnd"/>
      <w:r>
        <w:t xml:space="preserve">, S. &amp; Vosberg, L. 2024. The potential impact of artificial intelligence on equity and inclusion in education. </w:t>
      </w:r>
      <w:r>
        <w:rPr>
          <w:i/>
        </w:rPr>
        <w:t>OECD Artificial Intelligence Papers</w:t>
      </w:r>
      <w:r>
        <w:t xml:space="preserve"> No. 23. Paris: OECD Publishing.</w:t>
      </w:r>
    </w:p>
    <w:p w14:paraId="1EE8A8F4" w14:textId="77777777" w:rsidR="0098044C" w:rsidRDefault="00000000">
      <w:pPr>
        <w:widowControl/>
        <w:ind w:left="420" w:hanging="420"/>
        <w:jc w:val="left"/>
      </w:pPr>
      <w:r>
        <w:t xml:space="preserve">Zimmerman, B. J. 2002. Becoming a self-regulated learner: An overview. </w:t>
      </w:r>
      <w:r>
        <w:rPr>
          <w:i/>
        </w:rPr>
        <w:t>Theory into Practice</w:t>
      </w:r>
      <w:r>
        <w:t xml:space="preserve"> 41 (2): 64-70.</w:t>
      </w:r>
    </w:p>
    <w:sectPr w:rsidR="0098044C">
      <w:headerReference w:type="default" r:id="rId6"/>
      <w:pgSz w:w="11906" w:h="16838"/>
      <w:pgMar w:top="1440" w:right="1797" w:bottom="1440" w:left="1797" w:header="850" w:footer="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9292CDF" w14:textId="77777777" w:rsidR="00FE66EE" w:rsidRDefault="00FE66EE">
      <w:pPr>
        <w:spacing w:line="240" w:lineRule="auto"/>
      </w:pPr>
      <w:r>
        <w:separator/>
      </w:r>
    </w:p>
  </w:endnote>
  <w:endnote w:type="continuationSeparator" w:id="0">
    <w:p w14:paraId="63DB1D41" w14:textId="77777777" w:rsidR="00FE66EE" w:rsidRDefault="00FE66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Liberation Serif">
    <w:altName w:val="Times New Roman"/>
    <w:panose1 w:val="020B0604020202020204"/>
    <w:charset w:val="00"/>
    <w:family w:val="roman"/>
    <w:pitch w:val="variable"/>
  </w:font>
  <w:font w:name="宋体">
    <w:altName w:val="SimSun"/>
    <w:panose1 w:val="02010600030101010101"/>
    <w:charset w:val="86"/>
    <w:family w:val="auto"/>
    <w:pitch w:val="variable"/>
    <w:sig w:usb0="00000203" w:usb1="288F0000" w:usb2="00000016" w:usb3="00000000" w:csb0="00040001" w:csb1="00000000"/>
  </w:font>
  <w:font w:name="Lohit Devanaga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Noto Sans CJK SC">
    <w:altName w:val="Cambria"/>
    <w:panose1 w:val="020B0604020202020204"/>
    <w:charset w:val="00"/>
    <w:family w:val="roman"/>
    <w:notTrueType/>
    <w:pitch w:val="default"/>
  </w:font>
  <w:font w:name="宋体;SimSun">
    <w:altName w:val="宋体"/>
    <w:panose1 w:val="020B0604020202020204"/>
    <w:charset w:val="86"/>
    <w:family w:val="roman"/>
    <w:notTrueType/>
    <w:pitch w:val="default"/>
  </w:font>
  <w:font w:name="黑体;SimHei">
    <w:altName w:val="宋体"/>
    <w:panose1 w:val="020B0604020202020204"/>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4EAA047" w14:textId="77777777" w:rsidR="00FE66EE" w:rsidRDefault="00FE66EE">
      <w:pPr>
        <w:spacing w:line="240" w:lineRule="auto"/>
      </w:pPr>
      <w:r>
        <w:separator/>
      </w:r>
    </w:p>
  </w:footnote>
  <w:footnote w:type="continuationSeparator" w:id="0">
    <w:p w14:paraId="5A80B1BA" w14:textId="77777777" w:rsidR="00FE66EE" w:rsidRDefault="00FE66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A55569" w14:textId="77777777" w:rsidR="0098044C" w:rsidRDefault="0098044C">
    <w:pPr>
      <w:pStyle w:val="a7"/>
      <w:pBdr>
        <w:bottom w:val="nil"/>
      </w:pBd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bordersDoNotSurroundHeader/>
  <w:bordersDoNotSurroundFooter/>
  <w:proofState w:spelling="clean" w:grammar="clean"/>
  <w:doNotTrackMoves/>
  <w:defaultTabStop w:val="420"/>
  <w:autoHyphenation/>
  <w:hyphenationZone w:val="0"/>
  <w:characterSpacingControl w:val="doNotCompres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DI2ODM5ZjIzMTQ2NTIzNWE3MWY4NDc0MDI5YjU4OTkifQ=="/>
  </w:docVars>
  <w:rsids>
    <w:rsidRoot w:val="0098044C"/>
    <w:rsid w:val="001D4511"/>
    <w:rsid w:val="002F7047"/>
    <w:rsid w:val="006952F2"/>
    <w:rsid w:val="008617C2"/>
    <w:rsid w:val="0098044C"/>
    <w:rsid w:val="00A77E2F"/>
    <w:rsid w:val="00C106C5"/>
    <w:rsid w:val="00E24C20"/>
    <w:rsid w:val="00F975EC"/>
    <w:rsid w:val="00FE6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9AA77AB"/>
  <w15:docId w15:val="{03C0D62D-F102-A94A-AE92-23A6E33E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Liberation Serif" w:eastAsia="宋体" w:hAnsi="Liberation Serif" w:cs="Lohit Devanaga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00" w:lineRule="auto"/>
      <w:jc w:val="both"/>
    </w:pPr>
    <w:rPr>
      <w:rFonts w:ascii="Times New Roman" w:eastAsia="Times New Roman" w:hAnsi="Times New Roman"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819"/>
        <w:tab w:val="right" w:pos="9638"/>
      </w:tabs>
    </w:p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000000"/>
      </w:pBdr>
      <w:tabs>
        <w:tab w:val="center" w:pos="4153"/>
        <w:tab w:val="right" w:pos="8306"/>
      </w:tabs>
      <w:snapToGrid w:val="0"/>
      <w:jc w:val="center"/>
    </w:pPr>
    <w:rPr>
      <w:sz w:val="18"/>
      <w:szCs w:val="18"/>
    </w:rPr>
  </w:style>
  <w:style w:type="paragraph" w:styleId="a8">
    <w:name w:val="Normal (Web)"/>
    <w:basedOn w:val="a"/>
    <w:qFormat/>
    <w:pPr>
      <w:widowControl/>
      <w:spacing w:before="100" w:after="100"/>
      <w:jc w:val="left"/>
    </w:pPr>
    <w:rPr>
      <w:rFonts w:ascii="宋体;SimSun" w:hAnsi="宋体;SimSun" w:cs="宋体;SimSun"/>
      <w:color w:val="000000"/>
      <w:kern w:val="0"/>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3835</Words>
  <Characters>21861</Characters>
  <Application>Microsoft Office Word</Application>
  <DocSecurity>0</DocSecurity>
  <Lines>182</Lines>
  <Paragraphs>51</Paragraphs>
  <ScaleCrop>false</ScaleCrop>
  <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AI Equalize Learners or Widen the Gap? A Mechanism-Based Analysis of AI-Assisted Learning</dc:title>
  <dc:subject>English Department Term Paper</dc:subject>
  <dc:creator>王永城</dc:creator>
  <cp:keywords>generative AI; educational inequality; epistemic agency; literature review</cp:keywords>
  <dc:description/>
  <cp:lastModifiedBy>永城 王</cp:lastModifiedBy>
  <cp:revision>6</cp:revision>
  <dcterms:created xsi:type="dcterms:W3CDTF">2026-01-02T02:41:00Z</dcterms:created>
  <dcterms:modified xsi:type="dcterms:W3CDTF">2026-07-11T17:20:00Z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6603657A84514E7183007EC21545B2CA_13</vt:lpwstr>
  </property>
  <property fmtid="{D5CDD505-2E9C-101B-9397-08002B2CF9AE}" pid="3" name="KSOProductBuildVer">
    <vt:lpwstr>2052-12.1.0.15712</vt:lpwstr>
  </property>
</Properties>
</file>